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45" w:rsidRDefault="008D2999">
      <w:r>
        <w:t>Правила эксплуатации маломерных судов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Безопасность движения маломерных судов регулируется Приказом № 129 Минтранса РФ от 14.10. 2002 г. «Правила плавания по внутренним водным путям РФ».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Приказом МЧС РФ № 502 «Правила пользования маломерными судами на водных объектах Российской Федерации».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Эти правила регламентируют движение судов на внутренних водных судоходных и несудоходных путях РФ.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 соответствии с нормативными документами: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Пользование маломерными судами разрешается после их государственной регистрации. Нанесения бортовых (регистрационных) номеров и технического освидетельствования (Техническое освидетельствование проводится раз 5 лет).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С соблюдением установленных условий, норм по </w:t>
      </w:r>
      <w:proofErr w:type="spellStart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пассажировместимости</w:t>
      </w:r>
      <w:proofErr w:type="spellEnd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, грузоподъемности, предельной мощности и количеству двигателей, району плавания, высоте волны, при которой судно может </w:t>
      </w:r>
      <w:proofErr w:type="gramStart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плавать,  оснащению</w:t>
      </w:r>
      <w:proofErr w:type="gramEnd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спасательными и противопожарными средствами, сигнальными огнями, навигационным и другим оборудованием.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Судоводители, должны иметь удостоверение на право управления маломерными судами.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Государственной регистрации в органах ГИМС МЧС России подлежат, маломерные суда, которые используются в некоммерческих целях, масса которых свыше 200 кг</w:t>
      </w:r>
      <w:proofErr w:type="gramStart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.</w:t>
      </w:r>
      <w:proofErr w:type="gramEnd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или если мощность установленного двигателя (лодочного мотора) свыше 8 кВт.</w:t>
      </w:r>
    </w:p>
    <w:p w:rsidR="008D2999" w:rsidRPr="008D2999" w:rsidRDefault="008D2999" w:rsidP="008D299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Вес судна определяется </w:t>
      </w:r>
      <w:hyperlink r:id="rId4" w:history="1">
        <w:r w:rsidRPr="008D2999">
          <w:rPr>
            <w:rFonts w:ascii="Arial" w:eastAsia="Times New Roman" w:hAnsi="Arial" w:cs="Arial"/>
            <w:color w:val="50634F"/>
            <w:sz w:val="24"/>
            <w:szCs w:val="24"/>
            <w:u w:val="single"/>
            <w:bdr w:val="none" w:sz="0" w:space="0" w:color="auto" w:frame="1"/>
            <w:lang w:eastAsia="ru-RU"/>
          </w:rPr>
          <w:t>ГОСТом Р ИСО-8666-2012</w:t>
        </w:r>
      </w:hyperlink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. Согласно данному документу, при вычислении этого параметра, учитывается вес не фактически стоящего лодочного мотора, а вес наиболее тяжелого мотора максимальной мощности, допустимой для данного судна.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          </w:t>
      </w:r>
    </w:p>
    <w:p w:rsidR="008D2999" w:rsidRPr="008D2999" w:rsidRDefault="008D2999" w:rsidP="008D299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 соответствии с этим Уважаемые судовладельцы и судоводители проверьте документы на принадлежащие Вам суда, и сроки действия водительских удостоверений.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С 29 июля 2019 года внесены поправки в административный кодекс РФ.</w:t>
      </w:r>
    </w:p>
    <w:p w:rsidR="008D2999" w:rsidRPr="008D2999" w:rsidRDefault="008D2999" w:rsidP="008D2999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8D2999">
        <w:rPr>
          <w:rFonts w:ascii="Arial" w:eastAsia="Times New Roman" w:hAnsi="Arial" w:cs="Arial"/>
          <w:kern w:val="36"/>
          <w:sz w:val="48"/>
          <w:szCs w:val="48"/>
          <w:lang w:eastAsia="ru-RU"/>
        </w:rPr>
        <w:t>  </w:t>
      </w:r>
    </w:p>
    <w:p w:rsidR="008D2999" w:rsidRPr="008D2999" w:rsidRDefault="008D2999" w:rsidP="008D2999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8D299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КоАП РФ Статья 11.8. Нарушение правил эксплуатации судов, а также управление </w:t>
      </w:r>
      <w:r w:rsidRPr="008D2999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судном лицом, не имеющим права управления:</w:t>
      </w:r>
    </w:p>
    <w:p w:rsidR="008D2999" w:rsidRPr="008D2999" w:rsidRDefault="008D2999" w:rsidP="008D299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 ч. 1 Управление судном (в том числе маломерным, подлежащим государственной регистрации), не прошедшим 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пассажировместимости</w:t>
      </w:r>
      <w:proofErr w:type="spellEnd"/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, ограничений по району и условиям плавания, за исключением случаев, предусмотренных </w:t>
      </w:r>
      <w:hyperlink r:id="rId5" w:anchor="dst8088" w:history="1">
        <w:r w:rsidRPr="008D2999">
          <w:rPr>
            <w:rFonts w:ascii="Arial" w:eastAsia="Times New Roman" w:hAnsi="Arial" w:cs="Arial"/>
            <w:color w:val="50634F"/>
            <w:sz w:val="24"/>
            <w:szCs w:val="24"/>
            <w:u w:val="single"/>
            <w:bdr w:val="none" w:sz="0" w:space="0" w:color="auto" w:frame="1"/>
            <w:lang w:eastAsia="ru-RU"/>
          </w:rPr>
          <w:t>частью 3</w:t>
        </w:r>
      </w:hyperlink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настоящей статьи — влечет наложение административного штрафа в размере </w:t>
      </w:r>
      <w:r w:rsidRPr="008D299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от пяти тысяч до десяти тысяч рублей.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8D2999" w:rsidRPr="008D2999" w:rsidRDefault="008D2999" w:rsidP="008D299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ч. 2 Управление судном лицом, не имеющим права управления этим судном, или передача управления судном лицу, не имеющему права управления — влечет наложение административного штрафа в размере </w:t>
      </w:r>
      <w:r w:rsidRPr="008D299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от десяти тысяч до пятнадцати тысяч рублей.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8D2999" w:rsidRPr="008D2999" w:rsidRDefault="008D2999" w:rsidP="008D299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ч. 3 Управление судном (в том числе маломерным, подлежащим государственной регистрации), не зарегистрированным в установленном порядке либо имеющим </w:t>
      </w:r>
      <w:hyperlink r:id="rId6" w:anchor="dst100047" w:history="1">
        <w:r w:rsidRPr="008D2999">
          <w:rPr>
            <w:rFonts w:ascii="Arial" w:eastAsia="Times New Roman" w:hAnsi="Arial" w:cs="Arial"/>
            <w:color w:val="50634F"/>
            <w:sz w:val="24"/>
            <w:szCs w:val="24"/>
            <w:u w:val="single"/>
            <w:bdr w:val="none" w:sz="0" w:space="0" w:color="auto" w:frame="1"/>
            <w:lang w:eastAsia="ru-RU"/>
          </w:rPr>
          <w:t>неисправности</w:t>
        </w:r>
      </w:hyperlink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, с которыми запрещена его эксплуатация — влечет наложение административного штрафа в размере </w:t>
      </w:r>
      <w:r w:rsidRPr="008D299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от пятнадцати тысяч до двадцати тысяч рублей.</w:t>
      </w:r>
    </w:p>
    <w:p w:rsidR="008D2999" w:rsidRPr="008D2999" w:rsidRDefault="008D2999" w:rsidP="008D299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D299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          </w:t>
      </w:r>
    </w:p>
    <w:p w:rsidR="008D2999" w:rsidRPr="008D2999" w:rsidRDefault="008D2999" w:rsidP="008D299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Напоминаем, не</w:t>
      </w:r>
      <w:r w:rsidRPr="008D299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знание закона не освобождает от ответственности.</w:t>
      </w:r>
    </w:p>
    <w:p w:rsidR="008D2999" w:rsidRDefault="008D2999"/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Незнание основ плавания и игнорирование судоводителями правил безопасности часто приводит к аварийным ситуациям.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Ежегодно на водных объектах области фиксируются аварийные происшествия с маломерными судами. Зачастую эти происшествия связаны с гибелью и увечьем людей.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Анализ происшествий свидетельствует, что владельцы данных судов уклоняются от регистрации, не проходили техническое освидетельствование, находились в состоянии алкогольного опьянения, у половины лиц, совершивших аварии на катерах и моторных лодках, отсутствуют удостоверения на право управления маломерным судном.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Основными причинами аварийности являются: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нарушение судоводителями правил пользования водными объектами для плавания на маломерных судах;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— превышение установленных норм </w:t>
      </w:r>
      <w:proofErr w:type="spellStart"/>
      <w:r>
        <w:rPr>
          <w:rFonts w:ascii="Arial" w:hAnsi="Arial" w:cs="Arial"/>
          <w:color w:val="382E2C"/>
        </w:rPr>
        <w:t>пассажировместимости</w:t>
      </w:r>
      <w:proofErr w:type="spellEnd"/>
      <w:r>
        <w:rPr>
          <w:rFonts w:ascii="Arial" w:hAnsi="Arial" w:cs="Arial"/>
          <w:color w:val="382E2C"/>
        </w:rPr>
        <w:t xml:space="preserve"> и грузоподъемности;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— плавание в сложных </w:t>
      </w:r>
      <w:proofErr w:type="spellStart"/>
      <w:r>
        <w:rPr>
          <w:rFonts w:ascii="Arial" w:hAnsi="Arial" w:cs="Arial"/>
          <w:color w:val="382E2C"/>
        </w:rPr>
        <w:t>гидрометео</w:t>
      </w:r>
      <w:proofErr w:type="spellEnd"/>
      <w:r>
        <w:rPr>
          <w:rFonts w:ascii="Arial" w:hAnsi="Arial" w:cs="Arial"/>
          <w:color w:val="382E2C"/>
        </w:rPr>
        <w:t xml:space="preserve"> условиях и в темное время суток.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>— отсутствие непрерывного наблюдения за окружающей обстановкой во время движения.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В связи с этим хочется напомнить, </w:t>
      </w:r>
      <w:proofErr w:type="gramStart"/>
      <w:r>
        <w:rPr>
          <w:rFonts w:ascii="Arial" w:hAnsi="Arial" w:cs="Arial"/>
          <w:color w:val="382E2C"/>
        </w:rPr>
        <w:t>что  у</w:t>
      </w:r>
      <w:proofErr w:type="gramEnd"/>
      <w:r>
        <w:rPr>
          <w:rFonts w:ascii="Arial" w:hAnsi="Arial" w:cs="Arial"/>
          <w:color w:val="382E2C"/>
        </w:rPr>
        <w:t xml:space="preserve"> любого шкипера, оказавшегося  за румпелем или за штурвалом  маломерного  судна,  даже  не подлежащего  регистрации,  должны быть права.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Еще одна проблема отсутствие регистрации, для довольно многих владельцев таких судов </w:t>
      </w:r>
      <w:proofErr w:type="gramStart"/>
      <w:r>
        <w:rPr>
          <w:rFonts w:ascii="Arial" w:hAnsi="Arial" w:cs="Arial"/>
          <w:color w:val="382E2C"/>
        </w:rPr>
        <w:t>никакие  правила</w:t>
      </w:r>
      <w:proofErr w:type="gramEnd"/>
      <w:r>
        <w:rPr>
          <w:rFonts w:ascii="Arial" w:hAnsi="Arial" w:cs="Arial"/>
          <w:color w:val="382E2C"/>
        </w:rPr>
        <w:t xml:space="preserve"> поведения на воде и расхождения со встречными  и попутными судами не писаны.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Кроме прав, есть и обязанности, и, если хотите, ряд ограничений.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proofErr w:type="gramStart"/>
      <w:r>
        <w:rPr>
          <w:rFonts w:ascii="Arial" w:hAnsi="Arial" w:cs="Arial"/>
          <w:color w:val="382E2C"/>
        </w:rPr>
        <w:t>Часть  из</w:t>
      </w:r>
      <w:proofErr w:type="gramEnd"/>
      <w:r>
        <w:rPr>
          <w:rFonts w:ascii="Arial" w:hAnsi="Arial" w:cs="Arial"/>
          <w:color w:val="382E2C"/>
        </w:rPr>
        <w:t xml:space="preserve"> них определена производителями судов, которые устанавливают максимальную  загрузку судна, максимальную мощность мотора, который может использоваться на судне. Максимальное </w:t>
      </w:r>
      <w:proofErr w:type="gramStart"/>
      <w:r>
        <w:rPr>
          <w:rFonts w:ascii="Arial" w:hAnsi="Arial" w:cs="Arial"/>
          <w:color w:val="382E2C"/>
        </w:rPr>
        <w:t>удаление  от</w:t>
      </w:r>
      <w:proofErr w:type="gramEnd"/>
      <w:r>
        <w:rPr>
          <w:rFonts w:ascii="Arial" w:hAnsi="Arial" w:cs="Arial"/>
          <w:color w:val="382E2C"/>
        </w:rPr>
        <w:t>  берега или от места  укрытия, максимальную высоту волны, при которой  эксплуатация  этого судна  разрешается.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proofErr w:type="gramStart"/>
      <w:r>
        <w:rPr>
          <w:rFonts w:ascii="Arial" w:hAnsi="Arial" w:cs="Arial"/>
          <w:color w:val="382E2C"/>
        </w:rPr>
        <w:t>Нарушение  этих</w:t>
      </w:r>
      <w:proofErr w:type="gramEnd"/>
      <w:r>
        <w:rPr>
          <w:rFonts w:ascii="Arial" w:hAnsi="Arial" w:cs="Arial"/>
          <w:color w:val="382E2C"/>
        </w:rPr>
        <w:t xml:space="preserve"> требований, понятное дело,   останется  на  совести шкипера, но лишь до поры, до времени.  Если </w:t>
      </w:r>
      <w:proofErr w:type="gramStart"/>
      <w:r>
        <w:rPr>
          <w:rFonts w:ascii="Arial" w:hAnsi="Arial" w:cs="Arial"/>
          <w:color w:val="382E2C"/>
        </w:rPr>
        <w:t>произошла  драма</w:t>
      </w:r>
      <w:proofErr w:type="gramEnd"/>
      <w:r>
        <w:rPr>
          <w:rFonts w:ascii="Arial" w:hAnsi="Arial" w:cs="Arial"/>
          <w:color w:val="382E2C"/>
        </w:rPr>
        <w:t xml:space="preserve"> или, не дай Бог, трагедия, то отвечать придется,   невзирая на то, что судно не подлежит регистрации или оно не зарегистрировано.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Соблюдение правил плавания и эксплуатации маломерных судов поможет вам спокойно путешествовать по красивейшим, необъятным водным просторам нашего региона и не только.</w:t>
      </w:r>
    </w:p>
    <w:p w:rsidR="008D2999" w:rsidRDefault="008D2999" w:rsidP="008D2999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     С уважением Государственная инспекция по маломерным судам.   </w:t>
      </w:r>
    </w:p>
    <w:p w:rsidR="008D2999" w:rsidRDefault="008D2999">
      <w:bookmarkStart w:id="0" w:name="_GoBack"/>
      <w:bookmarkEnd w:id="0"/>
    </w:p>
    <w:sectPr w:rsidR="008D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99"/>
    <w:rsid w:val="00831345"/>
    <w:rsid w:val="008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ABC"/>
  <w15:chartTrackingRefBased/>
  <w15:docId w15:val="{F11395BA-1FE0-417A-921B-D0EAE302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999"/>
    <w:rPr>
      <w:color w:val="0000FF"/>
      <w:u w:val="single"/>
    </w:rPr>
  </w:style>
  <w:style w:type="character" w:styleId="a5">
    <w:name w:val="Strong"/>
    <w:basedOn w:val="a0"/>
    <w:uiPriority w:val="22"/>
    <w:qFormat/>
    <w:rsid w:val="008D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1506/" TargetMode="External"/><Relationship Id="rId5" Type="http://schemas.openxmlformats.org/officeDocument/2006/relationships/hyperlink" Target="http://www.consultant.ru/document/cons_doc_LAW_330849/1008ea2a31a97aede3e031147e70d34359b20ab4/" TargetMode="External"/><Relationship Id="rId4" Type="http://schemas.openxmlformats.org/officeDocument/2006/relationships/hyperlink" Target="http://www.internet-law.ru/gosts/gost/53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1</cp:revision>
  <dcterms:created xsi:type="dcterms:W3CDTF">2022-10-13T09:16:00Z</dcterms:created>
  <dcterms:modified xsi:type="dcterms:W3CDTF">2022-10-13T09:17:00Z</dcterms:modified>
</cp:coreProperties>
</file>